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C5C3D" w14:textId="5E21449C" w:rsidR="0010492D" w:rsidRDefault="005D47EE" w:rsidP="00F87223">
      <w:pPr>
        <w:spacing w:after="240"/>
        <w:jc w:val="both"/>
        <w:rPr>
          <w:b/>
          <w:bCs/>
          <w:sz w:val="32"/>
          <w:szCs w:val="32"/>
          <w:highlight w:val="lightGray"/>
        </w:rPr>
      </w:pPr>
      <w:r>
        <w:rPr>
          <w:b/>
          <w:bCs/>
          <w:noProof/>
          <w:sz w:val="32"/>
          <w:szCs w:val="32"/>
        </w:rPr>
        <mc:AlternateContent>
          <mc:Choice Requires="wps">
            <w:drawing>
              <wp:anchor distT="0" distB="0" distL="114300" distR="114300" simplePos="0" relativeHeight="251659264" behindDoc="0" locked="0" layoutInCell="1" allowOverlap="1" wp14:anchorId="00EE3A25" wp14:editId="0E539419">
                <wp:simplePos x="0" y="0"/>
                <wp:positionH relativeFrom="column">
                  <wp:posOffset>2076450</wp:posOffset>
                </wp:positionH>
                <wp:positionV relativeFrom="paragraph">
                  <wp:posOffset>400050</wp:posOffset>
                </wp:positionV>
                <wp:extent cx="5067300" cy="80962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5067300" cy="80962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370B8531" w14:textId="2FAEC196" w:rsidR="008E64C1" w:rsidRPr="008A56D1" w:rsidRDefault="008E64C1" w:rsidP="00453CC7">
                            <w:pPr>
                              <w:jc w:val="center"/>
                              <w:rPr>
                                <w:rFonts w:ascii="Courier New" w:hAnsi="Courier New" w:cs="Courier New"/>
                                <w:b/>
                                <w:bCs/>
                                <w:i/>
                                <w:iCs/>
                                <w:color w:val="FFFFFF" w:themeColor="background1"/>
                                <w:sz w:val="72"/>
                                <w:szCs w:val="72"/>
                                <w:lang w:val="en-US"/>
                              </w:rPr>
                            </w:pPr>
                            <w:r w:rsidRPr="008A56D1">
                              <w:rPr>
                                <w:rFonts w:ascii="Courier New" w:hAnsi="Courier New" w:cs="Courier New"/>
                                <w:b/>
                                <w:bCs/>
                                <w:i/>
                                <w:iCs/>
                                <w:color w:val="FFFFFF" w:themeColor="background1"/>
                                <w:sz w:val="72"/>
                                <w:szCs w:val="72"/>
                                <w:lang w:val="en-US"/>
                              </w:rPr>
                              <w:t>Newsl</w:t>
                            </w:r>
                            <w:r>
                              <w:rPr>
                                <w:rFonts w:ascii="Courier New" w:hAnsi="Courier New" w:cs="Courier New"/>
                                <w:b/>
                                <w:bCs/>
                                <w:i/>
                                <w:iCs/>
                                <w:color w:val="FFFFFF" w:themeColor="background1"/>
                                <w:sz w:val="72"/>
                                <w:szCs w:val="72"/>
                                <w:lang w:val="en-US"/>
                              </w:rPr>
                              <w:t>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E3A25" id="Rectangle 3" o:spid="_x0000_s1026" style="position:absolute;left:0;text-align:left;margin-left:163.5pt;margin-top:31.5pt;width:399pt;height:63.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JYSegIAAEQFAAAOAAAAZHJzL2Uyb0RvYy54bWysVE1v2zAMvQ/YfxB0X+2kTT+COkXQosOA&#10;og3aDj0rshQbkEWNUmJnv36U7LhFW+wwzAeZEslH8onU5VXXGLZT6GuwBZ8c5ZwpK6Gs7abgP59v&#10;v51z5oOwpTBgVcH3yvOrxdcvl62bqylUYEqFjECsn7eu4FUIbp5lXlaqEf4InLKk1ICNCLTFTVai&#10;aAm9Mdk0z0+zFrB0CFJ5T6c3vZIvEr7WSoYHrb0KzBSccgtpxbSu45otLsV8g8JVtRzSEP+QRSNq&#10;S0FHqBsRBNti/QGqqSWCBx2OJDQZaF1LlWqgaib5u2qeKuFUqoXI8W6kyf8/WHm/WyGry4Ifc2ZF&#10;Q1f0SKQJuzGKHUd6WufnZPXkVjjsPImx1k5jE/9UBesSpfuRUtUFJulwlp+eHefEvCTdeX5xOp1F&#10;0OzV26EP3xU0LAoFR4qemBS7Ox9604MJ+cVs+vhJCnujYgrGPipNZVDEafJODaSuDbKdoKsXUiob&#10;Jr2qEqXqj2c5fUM+o0fKLgFGZF0bM2IPALE5P2L3uQ720VWl/hud878l1juPHiky2DA6N7UF/AzA&#10;UFVD5N7+QFJPTWQpdOuOTKK4hnJP943QD4J38rYm2u+EDyuB1Pl0UzTN4YEWbaAtOAwSZxXg78/O&#10;oz01JGk5a2mSCu5/bQUqzswPS616MTk5iaOXNiezsylt8K1m/VZjt8010I1N6N1wMonRPpiDqBGa&#10;Fxr6ZYxKKmElxS64DHjYXId+wunZkGq5TGY0bk6EO/vkZASPBMe2eu5eBLqh9wJ17T0cpk7M37Vg&#10;bxs9LSy3AXSd+vOV14F6GtXUQ8OzEt+Ct/tk9fr4Lf4AAAD//wMAUEsDBBQABgAIAAAAIQAm+/mL&#10;3QAAAAsBAAAPAAAAZHJzL2Rvd25yZXYueG1sTE/LboMwELxX6j9YW6m3xkCUpCWYqIrUS6UekvQD&#10;HLwFEnuNsAnw992c2tPOakbzKHaTs+KGfWg9KUgXCQikypuWagXfp4+XVxAhajLaekIFMwbYlY8P&#10;hc6NH+mAt2OsBZtQyLWCJsYulzJUDTodFr5DYu7H905Hfvtaml6PbO6szJJkLZ1uiRMa3eG+wep6&#10;HByHaDzM6WbcX7+a6bNFO19wmJV6fpretyAiTvFPDPf6XB1K7nT2A5kgrIJltuEtUcF6yfcuSLMV&#10;ozOjt2QFsizk/w3lLwAAAP//AwBQSwECLQAUAAYACAAAACEAtoM4kv4AAADhAQAAEwAAAAAAAAAA&#10;AAAAAAAAAAAAW0NvbnRlbnRfVHlwZXNdLnhtbFBLAQItABQABgAIAAAAIQA4/SH/1gAAAJQBAAAL&#10;AAAAAAAAAAAAAAAAAC8BAABfcmVscy8ucmVsc1BLAQItABQABgAIAAAAIQAoRJYSegIAAEQFAAAO&#10;AAAAAAAAAAAAAAAAAC4CAABkcnMvZTJvRG9jLnhtbFBLAQItABQABgAIAAAAIQAm+/mL3QAAAAsB&#10;AAAPAAAAAAAAAAAAAAAAANQEAABkcnMvZG93bnJldi54bWxQSwUGAAAAAAQABADzAAAA3gUAAAAA&#10;" fillcolor="#517cc9 [3204]" strokecolor="#213b6b [1604]" strokeweight="1pt">
                <v:textbox>
                  <w:txbxContent>
                    <w:p w14:paraId="370B8531" w14:textId="2FAEC196" w:rsidR="008E64C1" w:rsidRPr="008A56D1" w:rsidRDefault="008E64C1" w:rsidP="00453CC7">
                      <w:pPr>
                        <w:jc w:val="center"/>
                        <w:rPr>
                          <w:rFonts w:ascii="Courier New" w:hAnsi="Courier New" w:cs="Courier New"/>
                          <w:b/>
                          <w:bCs/>
                          <w:i/>
                          <w:iCs/>
                          <w:color w:val="FFFFFF" w:themeColor="background1"/>
                          <w:sz w:val="72"/>
                          <w:szCs w:val="72"/>
                          <w:lang w:val="en-US"/>
                        </w:rPr>
                      </w:pPr>
                      <w:r w:rsidRPr="008A56D1">
                        <w:rPr>
                          <w:rFonts w:ascii="Courier New" w:hAnsi="Courier New" w:cs="Courier New"/>
                          <w:b/>
                          <w:bCs/>
                          <w:i/>
                          <w:iCs/>
                          <w:color w:val="FFFFFF" w:themeColor="background1"/>
                          <w:sz w:val="72"/>
                          <w:szCs w:val="72"/>
                          <w:lang w:val="en-US"/>
                        </w:rPr>
                        <w:t>Newsl</w:t>
                      </w:r>
                      <w:r>
                        <w:rPr>
                          <w:rFonts w:ascii="Courier New" w:hAnsi="Courier New" w:cs="Courier New"/>
                          <w:b/>
                          <w:bCs/>
                          <w:i/>
                          <w:iCs/>
                          <w:color w:val="FFFFFF" w:themeColor="background1"/>
                          <w:sz w:val="72"/>
                          <w:szCs w:val="72"/>
                          <w:lang w:val="en-US"/>
                        </w:rPr>
                        <w:t>etter</w:t>
                      </w:r>
                    </w:p>
                  </w:txbxContent>
                </v:textbox>
              </v:rect>
            </w:pict>
          </mc:Fallback>
        </mc:AlternateContent>
      </w:r>
    </w:p>
    <w:p w14:paraId="629F2B52" w14:textId="53577B47" w:rsidR="0010492D" w:rsidRDefault="0010492D" w:rsidP="00F87223">
      <w:pPr>
        <w:spacing w:after="240"/>
        <w:jc w:val="both"/>
        <w:rPr>
          <w:b/>
          <w:bCs/>
          <w:sz w:val="32"/>
          <w:szCs w:val="32"/>
          <w:highlight w:val="lightGray"/>
        </w:rPr>
      </w:pPr>
      <w:r>
        <w:rPr>
          <w:b/>
          <w:bCs/>
          <w:noProof/>
          <w:sz w:val="32"/>
          <w:szCs w:val="32"/>
        </w:rPr>
        <w:drawing>
          <wp:inline distT="0" distB="0" distL="0" distR="0" wp14:anchorId="5C4253D3" wp14:editId="16F8B4E6">
            <wp:extent cx="2105025" cy="819150"/>
            <wp:effectExtent l="0" t="0" r="9525"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2105025" cy="819150"/>
                    </a:xfrm>
                    <a:prstGeom prst="rect">
                      <a:avLst/>
                    </a:prstGeom>
                  </pic:spPr>
                </pic:pic>
              </a:graphicData>
            </a:graphic>
          </wp:inline>
        </w:drawing>
      </w:r>
    </w:p>
    <w:p w14:paraId="490992F4" w14:textId="77777777" w:rsidR="0010492D" w:rsidRPr="0010492D" w:rsidRDefault="0010492D" w:rsidP="00F87223">
      <w:pPr>
        <w:spacing w:after="240"/>
        <w:jc w:val="both"/>
        <w:rPr>
          <w:b/>
          <w:bCs/>
          <w:i/>
          <w:iCs/>
          <w:color w:val="213C6B" w:themeColor="accent1" w:themeShade="80"/>
          <w:sz w:val="36"/>
          <w:szCs w:val="36"/>
        </w:rPr>
      </w:pPr>
    </w:p>
    <w:p w14:paraId="270DCB8B" w14:textId="74492E2D" w:rsidR="005E22F9" w:rsidRDefault="005E22F9" w:rsidP="00F87223">
      <w:pPr>
        <w:spacing w:after="240"/>
        <w:jc w:val="both"/>
        <w:rPr>
          <w:b/>
          <w:bCs/>
          <w:sz w:val="32"/>
          <w:szCs w:val="32"/>
        </w:rPr>
      </w:pPr>
      <w:bookmarkStart w:id="0" w:name="_Hlk67566519"/>
      <w:r>
        <w:rPr>
          <w:b/>
          <w:bCs/>
          <w:sz w:val="32"/>
          <w:szCs w:val="32"/>
        </w:rPr>
        <w:t>Are you an Employer?</w:t>
      </w:r>
    </w:p>
    <w:p w14:paraId="4AD6A471" w14:textId="704520F2" w:rsidR="007F0540" w:rsidRDefault="006F01B7" w:rsidP="00F87223">
      <w:pPr>
        <w:spacing w:after="240"/>
        <w:jc w:val="both"/>
        <w:rPr>
          <w:b/>
          <w:bCs/>
          <w:sz w:val="32"/>
          <w:szCs w:val="32"/>
        </w:rPr>
      </w:pPr>
      <w:r w:rsidRPr="0010492D">
        <w:rPr>
          <w:b/>
          <w:bCs/>
          <w:sz w:val="32"/>
          <w:szCs w:val="32"/>
        </w:rPr>
        <w:t xml:space="preserve">Are you ready for </w:t>
      </w:r>
      <w:r w:rsidR="007F0540" w:rsidRPr="0010492D">
        <w:rPr>
          <w:b/>
          <w:bCs/>
          <w:sz w:val="32"/>
          <w:szCs w:val="32"/>
        </w:rPr>
        <w:t>Changes to STP (Single Touch Payroll) reporting from 1 July 2021</w:t>
      </w:r>
      <w:r w:rsidR="00E71B84" w:rsidRPr="0010492D">
        <w:rPr>
          <w:b/>
          <w:bCs/>
          <w:sz w:val="32"/>
          <w:szCs w:val="32"/>
        </w:rPr>
        <w:t>?</w:t>
      </w:r>
    </w:p>
    <w:bookmarkEnd w:id="0"/>
    <w:p w14:paraId="654A68C6" w14:textId="77777777" w:rsidR="00F87223" w:rsidRDefault="007F0540" w:rsidP="005D47EE">
      <w:pPr>
        <w:spacing w:line="360" w:lineRule="atLeast"/>
        <w:jc w:val="both"/>
        <w:rPr>
          <w:color w:val="000000"/>
          <w:shd w:val="clear" w:color="auto" w:fill="FFFFFF"/>
        </w:rPr>
      </w:pPr>
      <w:r>
        <w:rPr>
          <w:color w:val="000000"/>
          <w:shd w:val="clear" w:color="auto" w:fill="FFFFFF"/>
        </w:rPr>
        <w:t xml:space="preserve">All employers should be reporting through Single Touch Payroll (STP) unless </w:t>
      </w:r>
    </w:p>
    <w:p w14:paraId="5CD27395" w14:textId="77777777" w:rsidR="00F87223" w:rsidRPr="00F87223" w:rsidRDefault="007F0540" w:rsidP="005D47EE">
      <w:pPr>
        <w:pStyle w:val="ListParagraph"/>
        <w:numPr>
          <w:ilvl w:val="0"/>
          <w:numId w:val="6"/>
        </w:numPr>
        <w:spacing w:line="360" w:lineRule="atLeast"/>
        <w:jc w:val="both"/>
        <w:rPr>
          <w:color w:val="000000"/>
          <w:shd w:val="clear" w:color="auto" w:fill="FFFFFF"/>
        </w:rPr>
      </w:pPr>
      <w:r w:rsidRPr="00F87223">
        <w:rPr>
          <w:color w:val="000000"/>
          <w:shd w:val="clear" w:color="auto" w:fill="FFFFFF"/>
        </w:rPr>
        <w:t xml:space="preserve">they only have closely held payees, or </w:t>
      </w:r>
    </w:p>
    <w:p w14:paraId="276F50C1" w14:textId="72A270E8" w:rsidR="007F0540" w:rsidRPr="00F87223" w:rsidRDefault="007F0540" w:rsidP="005D47EE">
      <w:pPr>
        <w:pStyle w:val="ListParagraph"/>
        <w:numPr>
          <w:ilvl w:val="0"/>
          <w:numId w:val="6"/>
        </w:numPr>
        <w:spacing w:after="100" w:afterAutospacing="1" w:line="360" w:lineRule="atLeast"/>
        <w:ind w:left="714" w:hanging="357"/>
        <w:jc w:val="both"/>
        <w:rPr>
          <w:color w:val="000000"/>
          <w:shd w:val="clear" w:color="auto" w:fill="FFFFFF"/>
        </w:rPr>
      </w:pPr>
      <w:r w:rsidRPr="00F87223">
        <w:rPr>
          <w:color w:val="000000"/>
          <w:shd w:val="clear" w:color="auto" w:fill="FFFFFF"/>
        </w:rPr>
        <w:t xml:space="preserve">they are covered by a deferral or exemption. </w:t>
      </w:r>
    </w:p>
    <w:p w14:paraId="7479BD73" w14:textId="57501804" w:rsidR="007F0540" w:rsidRDefault="007F0540" w:rsidP="005D47EE">
      <w:pPr>
        <w:jc w:val="both"/>
        <w:rPr>
          <w:color w:val="000000"/>
          <w:shd w:val="clear" w:color="auto" w:fill="FFFFFF"/>
        </w:rPr>
      </w:pPr>
      <w:r>
        <w:rPr>
          <w:color w:val="000000"/>
          <w:shd w:val="clear" w:color="auto" w:fill="FFFFFF"/>
        </w:rPr>
        <w:t>There are changes to STP reporting for small employers with closely held payees and quarterly reporting for micro employers from 1 July 2021. </w:t>
      </w:r>
    </w:p>
    <w:p w14:paraId="7D65CD99" w14:textId="77777777" w:rsidR="007F0540" w:rsidRDefault="007F0540" w:rsidP="005D47EE">
      <w:pPr>
        <w:shd w:val="clear" w:color="auto" w:fill="FFFFFF"/>
        <w:spacing w:line="360" w:lineRule="atLeast"/>
        <w:ind w:firstLine="714"/>
        <w:jc w:val="both"/>
        <w:rPr>
          <w:color w:val="000000"/>
          <w:lang w:eastAsia="en-AU"/>
        </w:rPr>
      </w:pPr>
    </w:p>
    <w:p w14:paraId="458D6B48" w14:textId="42870409" w:rsidR="007F0540" w:rsidRPr="007978C2" w:rsidRDefault="007F0540" w:rsidP="005D47EE">
      <w:pPr>
        <w:shd w:val="clear" w:color="auto" w:fill="FFFFFF"/>
        <w:spacing w:before="72" w:after="240"/>
        <w:jc w:val="both"/>
        <w:rPr>
          <w:rFonts w:asciiTheme="minorHAnsi" w:hAnsiTheme="minorHAnsi" w:cstheme="minorHAnsi"/>
          <w:b/>
          <w:bCs/>
          <w:color w:val="000000"/>
          <w:sz w:val="32"/>
          <w:szCs w:val="32"/>
          <w:lang w:eastAsia="en-AU"/>
        </w:rPr>
      </w:pPr>
      <w:r w:rsidRPr="007978C2">
        <w:rPr>
          <w:rFonts w:asciiTheme="minorHAnsi" w:hAnsiTheme="minorHAnsi" w:cstheme="minorHAnsi"/>
          <w:b/>
          <w:bCs/>
          <w:color w:val="000000"/>
          <w:sz w:val="32"/>
          <w:szCs w:val="32"/>
          <w:lang w:eastAsia="en-AU"/>
        </w:rPr>
        <w:t xml:space="preserve">Micro employers reporting </w:t>
      </w:r>
      <w:proofErr w:type="gramStart"/>
      <w:r w:rsidRPr="007978C2">
        <w:rPr>
          <w:rFonts w:asciiTheme="minorHAnsi" w:hAnsiTheme="minorHAnsi" w:cstheme="minorHAnsi"/>
          <w:b/>
          <w:bCs/>
          <w:color w:val="000000"/>
          <w:sz w:val="32"/>
          <w:szCs w:val="32"/>
          <w:lang w:eastAsia="en-AU"/>
        </w:rPr>
        <w:t>quarterly</w:t>
      </w:r>
      <w:proofErr w:type="gramEnd"/>
    </w:p>
    <w:p w14:paraId="50B29427" w14:textId="547C80BB" w:rsidR="007F0540" w:rsidRPr="004C3CFB" w:rsidRDefault="004C3CFB" w:rsidP="005D47EE">
      <w:pPr>
        <w:shd w:val="clear" w:color="auto" w:fill="FFFFFF"/>
        <w:spacing w:before="72" w:after="240"/>
        <w:ind w:left="720"/>
        <w:jc w:val="both"/>
        <w:rPr>
          <w:rFonts w:asciiTheme="minorHAnsi" w:hAnsiTheme="minorHAnsi" w:cstheme="minorHAnsi"/>
          <w:i/>
          <w:iCs/>
          <w:color w:val="000000" w:themeColor="text1"/>
          <w:sz w:val="20"/>
          <w:szCs w:val="20"/>
          <w:lang w:eastAsia="en-AU"/>
        </w:rPr>
      </w:pPr>
      <w:r w:rsidRPr="004C3CFB">
        <w:rPr>
          <w:rFonts w:asciiTheme="minorHAnsi" w:hAnsiTheme="minorHAnsi" w:cstheme="minorHAnsi"/>
          <w:i/>
          <w:iCs/>
          <w:color w:val="000000"/>
          <w:sz w:val="20"/>
          <w:szCs w:val="20"/>
          <w:lang w:eastAsia="en-AU"/>
        </w:rPr>
        <w:t>You are considered a m</w:t>
      </w:r>
      <w:r w:rsidR="007F0540" w:rsidRPr="004C3CFB">
        <w:rPr>
          <w:rFonts w:asciiTheme="minorHAnsi" w:hAnsiTheme="minorHAnsi" w:cstheme="minorHAnsi"/>
          <w:i/>
          <w:iCs/>
          <w:color w:val="000000"/>
          <w:sz w:val="20"/>
          <w:szCs w:val="20"/>
          <w:lang w:eastAsia="en-AU"/>
        </w:rPr>
        <w:t xml:space="preserve">icro </w:t>
      </w:r>
      <w:r w:rsidRPr="004C3CFB">
        <w:rPr>
          <w:rFonts w:asciiTheme="minorHAnsi" w:hAnsiTheme="minorHAnsi" w:cstheme="minorHAnsi"/>
          <w:i/>
          <w:iCs/>
          <w:color w:val="000000"/>
          <w:sz w:val="20"/>
          <w:szCs w:val="20"/>
          <w:lang w:eastAsia="en-AU"/>
        </w:rPr>
        <w:t>e</w:t>
      </w:r>
      <w:r w:rsidR="007F0540" w:rsidRPr="004C3CFB">
        <w:rPr>
          <w:rFonts w:asciiTheme="minorHAnsi" w:hAnsiTheme="minorHAnsi" w:cstheme="minorHAnsi"/>
          <w:i/>
          <w:iCs/>
          <w:color w:val="000000"/>
          <w:sz w:val="20"/>
          <w:szCs w:val="20"/>
          <w:lang w:eastAsia="en-AU"/>
        </w:rPr>
        <w:t xml:space="preserve">mployer </w:t>
      </w:r>
      <w:r w:rsidRPr="004C3CFB">
        <w:rPr>
          <w:rFonts w:asciiTheme="minorHAnsi" w:hAnsiTheme="minorHAnsi" w:cstheme="minorHAnsi"/>
          <w:i/>
          <w:iCs/>
          <w:color w:val="000000"/>
          <w:sz w:val="20"/>
          <w:szCs w:val="20"/>
          <w:lang w:eastAsia="en-AU"/>
        </w:rPr>
        <w:t>if you have</w:t>
      </w:r>
      <w:r w:rsidR="007F0540" w:rsidRPr="004C3CFB">
        <w:rPr>
          <w:rFonts w:asciiTheme="minorHAnsi" w:hAnsiTheme="minorHAnsi" w:cstheme="minorHAnsi"/>
          <w:i/>
          <w:iCs/>
          <w:color w:val="000000"/>
          <w:sz w:val="20"/>
          <w:szCs w:val="20"/>
          <w:lang w:eastAsia="en-AU"/>
        </w:rPr>
        <w:t xml:space="preserve"> one to four employees</w:t>
      </w:r>
      <w:r w:rsidR="007F0540" w:rsidRPr="004C3CFB">
        <w:rPr>
          <w:rFonts w:asciiTheme="minorHAnsi" w:hAnsiTheme="minorHAnsi" w:cstheme="minorHAnsi"/>
          <w:i/>
          <w:iCs/>
          <w:color w:val="000000" w:themeColor="text1"/>
          <w:sz w:val="20"/>
          <w:szCs w:val="20"/>
          <w:lang w:eastAsia="en-AU"/>
        </w:rPr>
        <w:t>.</w:t>
      </w:r>
      <w:r w:rsidRPr="004C3CFB">
        <w:rPr>
          <w:rFonts w:asciiTheme="minorHAnsi" w:hAnsiTheme="minorHAnsi" w:cstheme="minorHAnsi"/>
          <w:i/>
          <w:iCs/>
          <w:color w:val="000000" w:themeColor="text1"/>
          <w:sz w:val="20"/>
          <w:szCs w:val="20"/>
          <w:lang w:eastAsia="en-AU"/>
        </w:rPr>
        <w:t xml:space="preserve"> </w:t>
      </w:r>
      <w:r w:rsidRPr="004C3CFB">
        <w:rPr>
          <w:rFonts w:asciiTheme="minorHAnsi" w:hAnsiTheme="minorHAnsi" w:cstheme="minorHAnsi"/>
          <w:color w:val="000000" w:themeColor="text1"/>
          <w:sz w:val="20"/>
          <w:szCs w:val="20"/>
          <w:shd w:val="clear" w:color="auto" w:fill="FFFFFF"/>
        </w:rPr>
        <w:t>If you have a mixture of employees and closely held payees (who are excluded from your headcount), you are still considered a micro employer if you have one to four employees.</w:t>
      </w:r>
    </w:p>
    <w:p w14:paraId="5D597701" w14:textId="77777777" w:rsidR="007F0540" w:rsidRDefault="007F0540" w:rsidP="005D47EE">
      <w:pPr>
        <w:shd w:val="clear" w:color="auto" w:fill="FFFFFF"/>
        <w:spacing w:after="240"/>
        <w:jc w:val="both"/>
        <w:rPr>
          <w:color w:val="000000"/>
          <w:lang w:eastAsia="en-AU"/>
        </w:rPr>
      </w:pPr>
      <w:r>
        <w:rPr>
          <w:color w:val="000000"/>
          <w:lang w:eastAsia="en-AU"/>
        </w:rPr>
        <w:t>From 1 July 2021, the eligibility criteria for the STP quarterly reporting concessions for micro employers will change and will only be available to micro employers who:</w:t>
      </w:r>
    </w:p>
    <w:p w14:paraId="4C375700" w14:textId="77777777" w:rsidR="007F0540" w:rsidRDefault="007F0540" w:rsidP="005D47EE">
      <w:pPr>
        <w:numPr>
          <w:ilvl w:val="0"/>
          <w:numId w:val="1"/>
        </w:numPr>
        <w:shd w:val="clear" w:color="auto" w:fill="FFFFFF"/>
        <w:spacing w:line="360" w:lineRule="auto"/>
        <w:jc w:val="both"/>
        <w:rPr>
          <w:rFonts w:eastAsia="Times New Roman"/>
          <w:color w:val="000000"/>
          <w:lang w:eastAsia="en-AU"/>
        </w:rPr>
      </w:pPr>
      <w:r>
        <w:rPr>
          <w:rFonts w:eastAsia="Times New Roman"/>
          <w:color w:val="000000"/>
          <w:lang w:eastAsia="en-AU"/>
        </w:rPr>
        <w:t>report through a registered tax professional</w:t>
      </w:r>
    </w:p>
    <w:p w14:paraId="02117B96" w14:textId="259AD5CB" w:rsidR="007F0540" w:rsidRDefault="007F0540" w:rsidP="005D47EE">
      <w:pPr>
        <w:numPr>
          <w:ilvl w:val="0"/>
          <w:numId w:val="1"/>
        </w:numPr>
        <w:shd w:val="clear" w:color="auto" w:fill="FFFFFF"/>
        <w:spacing w:after="240"/>
        <w:ind w:left="714" w:hanging="357"/>
        <w:jc w:val="both"/>
        <w:rPr>
          <w:color w:val="000000"/>
          <w:lang w:eastAsia="en-AU"/>
        </w:rPr>
      </w:pPr>
      <w:r>
        <w:rPr>
          <w:color w:val="000000"/>
          <w:lang w:eastAsia="en-AU"/>
        </w:rPr>
        <w:t xml:space="preserve">meet certain eligibility requirements which now include the need for exceptional </w:t>
      </w:r>
      <w:r w:rsidR="00F87223">
        <w:rPr>
          <w:color w:val="000000"/>
          <w:lang w:eastAsia="en-AU"/>
        </w:rPr>
        <w:t>c</w:t>
      </w:r>
      <w:r>
        <w:rPr>
          <w:color w:val="000000"/>
          <w:lang w:eastAsia="en-AU"/>
        </w:rPr>
        <w:t>ircumstances to exist.</w:t>
      </w:r>
    </w:p>
    <w:p w14:paraId="73BEE223" w14:textId="0E9D29E1" w:rsidR="007F0540" w:rsidRDefault="007F0540" w:rsidP="005D47EE">
      <w:pPr>
        <w:shd w:val="clear" w:color="auto" w:fill="FFFFFF"/>
        <w:spacing w:before="240" w:afterLines="240" w:after="576" w:line="360" w:lineRule="auto"/>
        <w:contextualSpacing/>
        <w:jc w:val="both"/>
        <w:rPr>
          <w:b/>
          <w:bCs/>
          <w:color w:val="000000"/>
          <w:sz w:val="32"/>
          <w:szCs w:val="32"/>
          <w:lang w:eastAsia="en-AU"/>
        </w:rPr>
      </w:pPr>
      <w:r>
        <w:rPr>
          <w:b/>
          <w:bCs/>
          <w:color w:val="000000"/>
          <w:sz w:val="32"/>
          <w:szCs w:val="32"/>
          <w:lang w:eastAsia="en-AU"/>
        </w:rPr>
        <w:t xml:space="preserve">Closely held </w:t>
      </w:r>
      <w:proofErr w:type="gramStart"/>
      <w:r>
        <w:rPr>
          <w:b/>
          <w:bCs/>
          <w:color w:val="000000"/>
          <w:sz w:val="32"/>
          <w:szCs w:val="32"/>
          <w:lang w:eastAsia="en-AU"/>
        </w:rPr>
        <w:t>payees</w:t>
      </w:r>
      <w:proofErr w:type="gramEnd"/>
    </w:p>
    <w:p w14:paraId="75615B2E" w14:textId="77777777" w:rsidR="007F0540" w:rsidRPr="007F0540" w:rsidRDefault="007F0540" w:rsidP="005D47EE">
      <w:pPr>
        <w:shd w:val="clear" w:color="auto" w:fill="FFFFFF"/>
        <w:spacing w:before="240" w:afterLines="240" w:after="576"/>
        <w:ind w:left="720"/>
        <w:contextualSpacing/>
        <w:jc w:val="both"/>
        <w:rPr>
          <w:rFonts w:asciiTheme="minorHAnsi" w:eastAsia="Times New Roman" w:hAnsiTheme="minorHAnsi" w:cstheme="minorHAnsi"/>
          <w:i/>
          <w:iCs/>
          <w:color w:val="000000" w:themeColor="text1"/>
          <w:sz w:val="20"/>
          <w:szCs w:val="20"/>
          <w:lang w:eastAsia="en-AU"/>
        </w:rPr>
      </w:pPr>
      <w:r w:rsidRPr="007F0540">
        <w:rPr>
          <w:rFonts w:asciiTheme="minorHAnsi" w:eastAsia="Times New Roman" w:hAnsiTheme="minorHAnsi" w:cstheme="minorHAnsi"/>
          <w:i/>
          <w:iCs/>
          <w:color w:val="000000" w:themeColor="text1"/>
          <w:sz w:val="20"/>
          <w:szCs w:val="20"/>
          <w:lang w:eastAsia="en-AU"/>
        </w:rPr>
        <w:t>A closely held payee means the payee is directly related to the entity from which they receive payments. For example:</w:t>
      </w:r>
    </w:p>
    <w:p w14:paraId="32F3E694" w14:textId="77777777" w:rsidR="007F0540" w:rsidRPr="007F0540" w:rsidRDefault="007F0540" w:rsidP="005D47EE">
      <w:pPr>
        <w:numPr>
          <w:ilvl w:val="0"/>
          <w:numId w:val="5"/>
        </w:numPr>
        <w:shd w:val="clear" w:color="auto" w:fill="FFFFFF"/>
        <w:tabs>
          <w:tab w:val="clear" w:pos="720"/>
          <w:tab w:val="num" w:pos="1443"/>
        </w:tabs>
        <w:spacing w:before="360" w:after="72"/>
        <w:ind w:left="1443"/>
        <w:contextualSpacing/>
        <w:jc w:val="both"/>
        <w:rPr>
          <w:rFonts w:asciiTheme="minorHAnsi" w:eastAsia="Times New Roman" w:hAnsiTheme="minorHAnsi" w:cstheme="minorHAnsi"/>
          <w:i/>
          <w:iCs/>
          <w:color w:val="000000" w:themeColor="text1"/>
          <w:sz w:val="20"/>
          <w:szCs w:val="20"/>
          <w:lang w:eastAsia="en-AU"/>
        </w:rPr>
      </w:pPr>
      <w:r w:rsidRPr="007F0540">
        <w:rPr>
          <w:rFonts w:asciiTheme="minorHAnsi" w:eastAsia="Times New Roman" w:hAnsiTheme="minorHAnsi" w:cstheme="minorHAnsi"/>
          <w:i/>
          <w:iCs/>
          <w:color w:val="000000" w:themeColor="text1"/>
          <w:sz w:val="20"/>
          <w:szCs w:val="20"/>
          <w:lang w:eastAsia="en-AU"/>
        </w:rPr>
        <w:t>family members of a family-owned business</w:t>
      </w:r>
    </w:p>
    <w:p w14:paraId="51E180C6" w14:textId="77777777" w:rsidR="007F0540" w:rsidRPr="007F0540" w:rsidRDefault="007F0540" w:rsidP="005D47EE">
      <w:pPr>
        <w:numPr>
          <w:ilvl w:val="0"/>
          <w:numId w:val="5"/>
        </w:numPr>
        <w:shd w:val="clear" w:color="auto" w:fill="FFFFFF"/>
        <w:tabs>
          <w:tab w:val="clear" w:pos="720"/>
          <w:tab w:val="num" w:pos="1443"/>
        </w:tabs>
        <w:spacing w:before="72" w:after="72"/>
        <w:ind w:left="1443"/>
        <w:contextualSpacing/>
        <w:jc w:val="both"/>
        <w:rPr>
          <w:rFonts w:asciiTheme="minorHAnsi" w:eastAsia="Times New Roman" w:hAnsiTheme="minorHAnsi" w:cstheme="minorHAnsi"/>
          <w:i/>
          <w:iCs/>
          <w:color w:val="000000" w:themeColor="text1"/>
          <w:sz w:val="20"/>
          <w:szCs w:val="20"/>
          <w:lang w:eastAsia="en-AU"/>
        </w:rPr>
      </w:pPr>
      <w:r w:rsidRPr="007F0540">
        <w:rPr>
          <w:rFonts w:asciiTheme="minorHAnsi" w:eastAsia="Times New Roman" w:hAnsiTheme="minorHAnsi" w:cstheme="minorHAnsi"/>
          <w:i/>
          <w:iCs/>
          <w:color w:val="000000" w:themeColor="text1"/>
          <w:sz w:val="20"/>
          <w:szCs w:val="20"/>
          <w:lang w:eastAsia="en-AU"/>
        </w:rPr>
        <w:t>directors or shareholders of a company</w:t>
      </w:r>
    </w:p>
    <w:p w14:paraId="531610EF" w14:textId="77777777" w:rsidR="007F0540" w:rsidRPr="007F0540" w:rsidRDefault="007F0540" w:rsidP="005D47EE">
      <w:pPr>
        <w:numPr>
          <w:ilvl w:val="0"/>
          <w:numId w:val="5"/>
        </w:numPr>
        <w:shd w:val="clear" w:color="auto" w:fill="FFFFFF"/>
        <w:tabs>
          <w:tab w:val="clear" w:pos="720"/>
          <w:tab w:val="num" w:pos="1443"/>
        </w:tabs>
        <w:spacing w:before="72" w:after="360"/>
        <w:ind w:left="1443"/>
        <w:contextualSpacing/>
        <w:jc w:val="both"/>
        <w:rPr>
          <w:rFonts w:asciiTheme="minorHAnsi" w:eastAsia="Times New Roman" w:hAnsiTheme="minorHAnsi" w:cstheme="minorHAnsi"/>
          <w:i/>
          <w:iCs/>
          <w:color w:val="000000" w:themeColor="text1"/>
          <w:sz w:val="20"/>
          <w:szCs w:val="20"/>
          <w:lang w:eastAsia="en-AU"/>
        </w:rPr>
      </w:pPr>
      <w:r w:rsidRPr="007F0540">
        <w:rPr>
          <w:rFonts w:asciiTheme="minorHAnsi" w:eastAsia="Times New Roman" w:hAnsiTheme="minorHAnsi" w:cstheme="minorHAnsi"/>
          <w:i/>
          <w:iCs/>
          <w:color w:val="000000" w:themeColor="text1"/>
          <w:sz w:val="20"/>
          <w:szCs w:val="20"/>
          <w:lang w:eastAsia="en-AU"/>
        </w:rPr>
        <w:t>trustees or beneficiaries of a trust.</w:t>
      </w:r>
    </w:p>
    <w:p w14:paraId="109474F9" w14:textId="77777777" w:rsidR="007F0540" w:rsidRPr="007F0540" w:rsidRDefault="007F0540" w:rsidP="005D47EE">
      <w:pPr>
        <w:shd w:val="clear" w:color="auto" w:fill="FFFFFF"/>
        <w:spacing w:after="330"/>
        <w:ind w:left="720"/>
        <w:contextualSpacing/>
        <w:jc w:val="both"/>
        <w:rPr>
          <w:rFonts w:asciiTheme="minorHAnsi" w:eastAsia="Times New Roman" w:hAnsiTheme="minorHAnsi" w:cstheme="minorHAnsi"/>
          <w:i/>
          <w:iCs/>
          <w:color w:val="000000" w:themeColor="text1"/>
          <w:sz w:val="20"/>
          <w:szCs w:val="20"/>
          <w:lang w:eastAsia="en-AU"/>
        </w:rPr>
      </w:pPr>
      <w:r w:rsidRPr="007F0540">
        <w:rPr>
          <w:rFonts w:asciiTheme="minorHAnsi" w:eastAsia="Times New Roman" w:hAnsiTheme="minorHAnsi" w:cstheme="minorHAnsi"/>
          <w:i/>
          <w:iCs/>
          <w:color w:val="000000" w:themeColor="text1"/>
          <w:sz w:val="20"/>
          <w:szCs w:val="20"/>
          <w:lang w:eastAsia="en-AU"/>
        </w:rPr>
        <w:t>Employers may not always pay closely held payees a regular salary or wage. Instead, they may draw on income from the business throughout the year. As STP information is reported each time payroll is run, it may not be practical for employers to report payments made to closely held payees as regularly.</w:t>
      </w:r>
    </w:p>
    <w:p w14:paraId="04B68227" w14:textId="77777777" w:rsidR="00D02275" w:rsidRDefault="00D02275" w:rsidP="005D47EE">
      <w:pPr>
        <w:shd w:val="clear" w:color="auto" w:fill="FFFFFF"/>
        <w:spacing w:after="240"/>
        <w:contextualSpacing/>
        <w:jc w:val="both"/>
        <w:rPr>
          <w:color w:val="000000"/>
          <w:lang w:eastAsia="en-AU"/>
        </w:rPr>
      </w:pPr>
    </w:p>
    <w:p w14:paraId="7CF63ED7" w14:textId="26C8E99A" w:rsidR="007F0540" w:rsidRPr="00F87223" w:rsidRDefault="007F0540" w:rsidP="005D47EE">
      <w:pPr>
        <w:shd w:val="clear" w:color="auto" w:fill="FFFFFF"/>
        <w:spacing w:after="240"/>
        <w:contextualSpacing/>
        <w:jc w:val="both"/>
        <w:rPr>
          <w:color w:val="000000"/>
          <w:lang w:eastAsia="en-AU"/>
        </w:rPr>
      </w:pPr>
      <w:r w:rsidRPr="00F87223">
        <w:rPr>
          <w:color w:val="000000"/>
          <w:lang w:eastAsia="en-AU"/>
        </w:rPr>
        <w:t>From 1 July 2021, closely held payees will need to be reported through STP. You have the option to report this information on a quarterly basis.</w:t>
      </w:r>
    </w:p>
    <w:p w14:paraId="0DD5C50E" w14:textId="77777777" w:rsidR="007F0540" w:rsidRDefault="007F0540" w:rsidP="005D47EE">
      <w:pPr>
        <w:pStyle w:val="ListParagraph"/>
        <w:numPr>
          <w:ilvl w:val="0"/>
          <w:numId w:val="7"/>
        </w:numPr>
        <w:shd w:val="clear" w:color="auto" w:fill="FFFFFF"/>
        <w:ind w:left="714" w:hanging="357"/>
        <w:contextualSpacing/>
        <w:jc w:val="both"/>
        <w:rPr>
          <w:color w:val="000000"/>
          <w:lang w:eastAsia="en-AU"/>
        </w:rPr>
      </w:pPr>
      <w:r>
        <w:rPr>
          <w:color w:val="000000"/>
          <w:lang w:eastAsia="en-AU"/>
        </w:rPr>
        <w:t xml:space="preserve">Your quarterly STP report </w:t>
      </w:r>
      <w:r w:rsidRPr="00D02275">
        <w:rPr>
          <w:b/>
          <w:bCs/>
          <w:color w:val="000000"/>
          <w:lang w:eastAsia="en-AU"/>
        </w:rPr>
        <w:t>needs to be lodged</w:t>
      </w:r>
      <w:r>
        <w:rPr>
          <w:color w:val="000000"/>
          <w:lang w:eastAsia="en-AU"/>
        </w:rPr>
        <w:t xml:space="preserve"> through an STP-enabled solution. You can either lodge the report yourself or have a registered agent do this on your behalf.</w:t>
      </w:r>
    </w:p>
    <w:p w14:paraId="5CF562CE" w14:textId="77777777" w:rsidR="007F0540" w:rsidRDefault="007F0540" w:rsidP="005D47EE">
      <w:pPr>
        <w:pStyle w:val="ListParagraph"/>
        <w:numPr>
          <w:ilvl w:val="0"/>
          <w:numId w:val="7"/>
        </w:numPr>
        <w:shd w:val="clear" w:color="auto" w:fill="FFFFFF"/>
        <w:spacing w:after="100" w:afterAutospacing="1"/>
        <w:ind w:left="714" w:hanging="357"/>
        <w:jc w:val="both"/>
        <w:rPr>
          <w:color w:val="000000"/>
          <w:lang w:eastAsia="en-AU"/>
        </w:rPr>
      </w:pPr>
      <w:r>
        <w:rPr>
          <w:color w:val="000000"/>
          <w:lang w:eastAsia="en-AU"/>
        </w:rPr>
        <w:t xml:space="preserve">Your report </w:t>
      </w:r>
      <w:r w:rsidRPr="00D02275">
        <w:rPr>
          <w:b/>
          <w:bCs/>
          <w:color w:val="000000"/>
          <w:lang w:eastAsia="en-AU"/>
        </w:rPr>
        <w:t>cannot be lodged</w:t>
      </w:r>
      <w:r>
        <w:rPr>
          <w:color w:val="000000"/>
          <w:lang w:eastAsia="en-AU"/>
        </w:rPr>
        <w:t xml:space="preserve"> through the Business Portal or Online services for agents. It is not an additional label on the activity statement.</w:t>
      </w:r>
    </w:p>
    <w:p w14:paraId="4CDC65EE" w14:textId="77777777" w:rsidR="007F0540" w:rsidRPr="00D02275" w:rsidRDefault="007F0540" w:rsidP="005D47EE">
      <w:pPr>
        <w:shd w:val="clear" w:color="auto" w:fill="FFFFFF"/>
        <w:contextualSpacing/>
        <w:jc w:val="both"/>
        <w:rPr>
          <w:rFonts w:eastAsia="Times New Roman"/>
          <w:color w:val="000000"/>
          <w:lang w:eastAsia="en-AU"/>
        </w:rPr>
      </w:pPr>
      <w:r w:rsidRPr="00D02275">
        <w:rPr>
          <w:rFonts w:eastAsia="Times New Roman"/>
          <w:color w:val="000000"/>
          <w:lang w:eastAsia="en-AU"/>
        </w:rPr>
        <w:lastRenderedPageBreak/>
        <w:t>If you have any other employees (also known as arm's length employees) they must be reported on or before each payday.</w:t>
      </w:r>
    </w:p>
    <w:p w14:paraId="3E3F4748" w14:textId="77777777" w:rsidR="007F0540" w:rsidRDefault="007F0540" w:rsidP="005D47EE">
      <w:pPr>
        <w:pStyle w:val="ListParagraph"/>
        <w:shd w:val="clear" w:color="auto" w:fill="FFFFFF"/>
        <w:spacing w:line="360" w:lineRule="atLeast"/>
        <w:jc w:val="both"/>
        <w:rPr>
          <w:color w:val="000000"/>
          <w:lang w:eastAsia="en-AU"/>
        </w:rPr>
      </w:pPr>
    </w:p>
    <w:p w14:paraId="1C9E7D9C" w14:textId="77777777" w:rsidR="007F0540" w:rsidRDefault="007F0540" w:rsidP="005D47EE">
      <w:pPr>
        <w:pStyle w:val="ListParagraph"/>
        <w:shd w:val="clear" w:color="auto" w:fill="FFFFFF"/>
        <w:spacing w:beforeLines="240" w:before="576" w:line="360" w:lineRule="auto"/>
        <w:ind w:left="0"/>
        <w:contextualSpacing/>
        <w:jc w:val="both"/>
        <w:rPr>
          <w:b/>
          <w:bCs/>
          <w:color w:val="000000"/>
          <w:sz w:val="32"/>
          <w:szCs w:val="32"/>
          <w:lang w:eastAsia="en-AU"/>
        </w:rPr>
      </w:pPr>
      <w:r>
        <w:rPr>
          <w:b/>
          <w:bCs/>
          <w:color w:val="000000"/>
          <w:sz w:val="32"/>
          <w:szCs w:val="32"/>
          <w:lang w:eastAsia="en-AU"/>
        </w:rPr>
        <w:t>Payroll information reported through STP includes:</w:t>
      </w:r>
    </w:p>
    <w:p w14:paraId="07458518" w14:textId="77777777" w:rsidR="007F0540" w:rsidRDefault="007F0540" w:rsidP="005D47EE">
      <w:pPr>
        <w:pStyle w:val="ListParagraph"/>
        <w:numPr>
          <w:ilvl w:val="1"/>
          <w:numId w:val="8"/>
        </w:numPr>
        <w:shd w:val="clear" w:color="auto" w:fill="FFFFFF"/>
        <w:tabs>
          <w:tab w:val="clear" w:pos="1080"/>
          <w:tab w:val="num" w:pos="720"/>
        </w:tabs>
        <w:spacing w:beforeLines="240" w:before="576"/>
        <w:ind w:left="720"/>
        <w:contextualSpacing/>
        <w:jc w:val="both"/>
        <w:rPr>
          <w:color w:val="000000"/>
          <w:lang w:eastAsia="en-AU"/>
        </w:rPr>
      </w:pPr>
      <w:r>
        <w:rPr>
          <w:color w:val="000000"/>
          <w:lang w:eastAsia="en-AU"/>
        </w:rPr>
        <w:t>salaries and wages</w:t>
      </w:r>
    </w:p>
    <w:p w14:paraId="110F9EC5" w14:textId="77777777" w:rsidR="007F0540" w:rsidRDefault="007F0540" w:rsidP="005D47EE">
      <w:pPr>
        <w:pStyle w:val="ListParagraph"/>
        <w:numPr>
          <w:ilvl w:val="1"/>
          <w:numId w:val="8"/>
        </w:numPr>
        <w:shd w:val="clear" w:color="auto" w:fill="FFFFFF"/>
        <w:tabs>
          <w:tab w:val="clear" w:pos="1080"/>
          <w:tab w:val="num" w:pos="720"/>
        </w:tabs>
        <w:ind w:left="720"/>
        <w:contextualSpacing/>
        <w:jc w:val="both"/>
        <w:rPr>
          <w:color w:val="000000"/>
          <w:lang w:eastAsia="en-AU"/>
        </w:rPr>
      </w:pPr>
      <w:r>
        <w:rPr>
          <w:color w:val="000000"/>
          <w:lang w:eastAsia="en-AU"/>
        </w:rPr>
        <w:t xml:space="preserve">pay as you go (PAYG) </w:t>
      </w:r>
      <w:proofErr w:type="gramStart"/>
      <w:r>
        <w:rPr>
          <w:color w:val="000000"/>
          <w:lang w:eastAsia="en-AU"/>
        </w:rPr>
        <w:t>withholding</w:t>
      </w:r>
      <w:proofErr w:type="gramEnd"/>
    </w:p>
    <w:p w14:paraId="1F4AB61F" w14:textId="77777777" w:rsidR="007F0540" w:rsidRDefault="007F0540" w:rsidP="005D47EE">
      <w:pPr>
        <w:pStyle w:val="ListParagraph"/>
        <w:numPr>
          <w:ilvl w:val="1"/>
          <w:numId w:val="8"/>
        </w:numPr>
        <w:shd w:val="clear" w:color="auto" w:fill="FFFFFF"/>
        <w:tabs>
          <w:tab w:val="clear" w:pos="1080"/>
          <w:tab w:val="num" w:pos="720"/>
        </w:tabs>
        <w:spacing w:before="72"/>
        <w:ind w:left="720"/>
        <w:contextualSpacing/>
        <w:jc w:val="both"/>
        <w:rPr>
          <w:b/>
          <w:bCs/>
          <w:color w:val="000000"/>
          <w:lang w:eastAsia="en-AU"/>
        </w:rPr>
      </w:pPr>
      <w:r>
        <w:rPr>
          <w:b/>
          <w:bCs/>
          <w:color w:val="000000"/>
          <w:lang w:eastAsia="en-AU"/>
        </w:rPr>
        <w:t>superannuation</w:t>
      </w:r>
    </w:p>
    <w:p w14:paraId="103992D7" w14:textId="77777777" w:rsidR="007F0540" w:rsidRDefault="007F0540" w:rsidP="005D47EE">
      <w:pPr>
        <w:shd w:val="clear" w:color="auto" w:fill="FFFFFF"/>
        <w:jc w:val="both"/>
        <w:rPr>
          <w:rFonts w:asciiTheme="minorHAnsi" w:hAnsiTheme="minorHAnsi" w:cstheme="minorBidi"/>
          <w:b/>
          <w:bCs/>
          <w:lang w:eastAsia="en-AU"/>
        </w:rPr>
      </w:pPr>
    </w:p>
    <w:p w14:paraId="0BC2F1D7" w14:textId="77777777" w:rsidR="007F0540" w:rsidRPr="00452F13" w:rsidRDefault="007F0540" w:rsidP="005D47EE">
      <w:pPr>
        <w:shd w:val="clear" w:color="auto" w:fill="FFFFFF"/>
        <w:spacing w:line="360" w:lineRule="auto"/>
        <w:contextualSpacing/>
        <w:jc w:val="both"/>
        <w:rPr>
          <w:b/>
          <w:bCs/>
          <w:color w:val="000000"/>
          <w:sz w:val="36"/>
          <w:szCs w:val="36"/>
          <w:lang w:eastAsia="en-AU"/>
        </w:rPr>
      </w:pPr>
      <w:r w:rsidRPr="00452F13">
        <w:rPr>
          <w:b/>
          <w:bCs/>
          <w:color w:val="000000"/>
          <w:sz w:val="36"/>
          <w:szCs w:val="36"/>
          <w:lang w:eastAsia="en-AU"/>
        </w:rPr>
        <w:t xml:space="preserve">Plan ahead </w:t>
      </w:r>
    </w:p>
    <w:p w14:paraId="50C46D44" w14:textId="77777777" w:rsidR="007F0540" w:rsidRDefault="007F0540" w:rsidP="005D47EE">
      <w:pPr>
        <w:shd w:val="clear" w:color="auto" w:fill="FFFFFF"/>
        <w:spacing w:line="360" w:lineRule="auto"/>
        <w:ind w:left="6"/>
        <w:contextualSpacing/>
        <w:jc w:val="both"/>
        <w:rPr>
          <w:color w:val="000000"/>
          <w:sz w:val="24"/>
          <w:szCs w:val="24"/>
        </w:rPr>
      </w:pPr>
      <w:r>
        <w:rPr>
          <w:color w:val="000000"/>
          <w:sz w:val="24"/>
          <w:szCs w:val="24"/>
          <w:lang w:eastAsia="en-AU"/>
        </w:rPr>
        <w:t>You</w:t>
      </w:r>
      <w:r>
        <w:rPr>
          <w:b/>
          <w:bCs/>
          <w:color w:val="000000"/>
          <w:sz w:val="24"/>
          <w:szCs w:val="24"/>
          <w:lang w:eastAsia="en-AU"/>
        </w:rPr>
        <w:t xml:space="preserve"> </w:t>
      </w:r>
      <w:r>
        <w:rPr>
          <w:color w:val="000000"/>
          <w:sz w:val="24"/>
          <w:szCs w:val="24"/>
        </w:rPr>
        <w:t>will need to determine how you will report through STP:</w:t>
      </w:r>
    </w:p>
    <w:p w14:paraId="1AA0B155" w14:textId="77777777" w:rsidR="007F0540" w:rsidRDefault="007F0540" w:rsidP="005D47EE">
      <w:pPr>
        <w:numPr>
          <w:ilvl w:val="0"/>
          <w:numId w:val="3"/>
        </w:numPr>
        <w:shd w:val="clear" w:color="auto" w:fill="FFFFFF"/>
        <w:tabs>
          <w:tab w:val="clear" w:pos="360"/>
          <w:tab w:val="num" w:pos="363"/>
        </w:tabs>
        <w:ind w:left="720" w:hanging="357"/>
        <w:contextualSpacing/>
        <w:jc w:val="both"/>
        <w:rPr>
          <w:color w:val="000000"/>
        </w:rPr>
      </w:pPr>
      <w:r>
        <w:rPr>
          <w:color w:val="000000"/>
        </w:rPr>
        <w:t>If you use payroll software, your digital service provider will let you know how they offer STP reporting.</w:t>
      </w:r>
    </w:p>
    <w:p w14:paraId="21BFC560" w14:textId="77777777" w:rsidR="007F0540" w:rsidRDefault="007F0540" w:rsidP="005D47EE">
      <w:pPr>
        <w:numPr>
          <w:ilvl w:val="0"/>
          <w:numId w:val="4"/>
        </w:numPr>
        <w:shd w:val="clear" w:color="auto" w:fill="FFFFFF"/>
        <w:tabs>
          <w:tab w:val="clear" w:pos="720"/>
          <w:tab w:val="num" w:pos="723"/>
        </w:tabs>
        <w:spacing w:before="100" w:beforeAutospacing="1" w:after="100" w:afterAutospacing="1"/>
        <w:ind w:hanging="357"/>
        <w:contextualSpacing/>
        <w:jc w:val="both"/>
        <w:rPr>
          <w:rFonts w:ascii="Segoe UI" w:hAnsi="Segoe UI" w:cs="Segoe UI"/>
          <w:color w:val="313131"/>
          <w:sz w:val="24"/>
          <w:szCs w:val="24"/>
        </w:rPr>
      </w:pPr>
      <w:r>
        <w:rPr>
          <w:color w:val="000000"/>
        </w:rPr>
        <w:t xml:space="preserve">You can choose a payroll solution that offers STP reporting if you </w:t>
      </w:r>
      <w:proofErr w:type="gramStart"/>
      <w:r>
        <w:rPr>
          <w:color w:val="000000"/>
        </w:rPr>
        <w:t>don't</w:t>
      </w:r>
      <w:proofErr w:type="gramEnd"/>
      <w:r>
        <w:rPr>
          <w:color w:val="000000"/>
        </w:rPr>
        <w:t xml:space="preserve"> currently have one, or if your current payroll solution will not be STP-enabled. </w:t>
      </w:r>
      <w:hyperlink r:id="rId7" w:tooltip="No-cost and low-cost solutions for Single Touch Payroll" w:history="1">
        <w:r>
          <w:rPr>
            <w:rStyle w:val="Hyperlink"/>
            <w:color w:val="2D75C9"/>
          </w:rPr>
          <w:t>No and low-cost Single Touch Payroll products</w:t>
        </w:r>
      </w:hyperlink>
      <w:r>
        <w:rPr>
          <w:color w:val="313131"/>
        </w:rPr>
        <w:t> (suitable for micro/small employers)</w:t>
      </w:r>
    </w:p>
    <w:p w14:paraId="5503AFE4" w14:textId="77777777" w:rsidR="007F0540" w:rsidRDefault="007F0540" w:rsidP="005D47EE">
      <w:pPr>
        <w:numPr>
          <w:ilvl w:val="0"/>
          <w:numId w:val="3"/>
        </w:numPr>
        <w:shd w:val="clear" w:color="auto" w:fill="FFFFFF"/>
        <w:tabs>
          <w:tab w:val="clear" w:pos="360"/>
          <w:tab w:val="num" w:pos="363"/>
        </w:tabs>
        <w:spacing w:before="72"/>
        <w:ind w:left="720" w:hanging="357"/>
        <w:contextualSpacing/>
        <w:jc w:val="both"/>
        <w:rPr>
          <w:b/>
          <w:bCs/>
          <w:color w:val="000000"/>
          <w:sz w:val="28"/>
          <w:szCs w:val="28"/>
          <w:lang w:eastAsia="en-AU"/>
        </w:rPr>
      </w:pPr>
      <w:r>
        <w:rPr>
          <w:color w:val="000000"/>
        </w:rPr>
        <w:t xml:space="preserve">You can ask a registered tax or BAS agent to report through STP for you. If you use a payroll service </w:t>
      </w:r>
      <w:proofErr w:type="gramStart"/>
      <w:r>
        <w:rPr>
          <w:color w:val="000000"/>
        </w:rPr>
        <w:t>provider</w:t>
      </w:r>
      <w:proofErr w:type="gramEnd"/>
      <w:r>
        <w:rPr>
          <w:color w:val="000000"/>
        </w:rPr>
        <w:t xml:space="preserve"> they must be a registered agent to report to the ATO on your behalf. </w:t>
      </w:r>
    </w:p>
    <w:p w14:paraId="474D08FE" w14:textId="77777777" w:rsidR="00D02275" w:rsidRDefault="00D02275" w:rsidP="005D47EE">
      <w:pPr>
        <w:pStyle w:val="ListParagraph"/>
        <w:shd w:val="clear" w:color="auto" w:fill="FFFFFF"/>
        <w:spacing w:line="360" w:lineRule="atLeast"/>
        <w:jc w:val="both"/>
        <w:rPr>
          <w:color w:val="000000"/>
          <w:lang w:eastAsia="en-AU"/>
        </w:rPr>
      </w:pPr>
    </w:p>
    <w:p w14:paraId="5D30F9E5" w14:textId="03964755" w:rsidR="00D02275" w:rsidRPr="00F14320" w:rsidRDefault="00D02275" w:rsidP="005D47EE">
      <w:pPr>
        <w:pStyle w:val="ListParagraph"/>
        <w:shd w:val="clear" w:color="auto" w:fill="FFFFFF"/>
        <w:spacing w:line="360" w:lineRule="atLeast"/>
        <w:ind w:left="3"/>
        <w:jc w:val="both"/>
        <w:rPr>
          <w:b/>
          <w:bCs/>
          <w:color w:val="000000"/>
          <w:lang w:eastAsia="en-AU"/>
        </w:rPr>
      </w:pPr>
      <w:r w:rsidRPr="00F14320">
        <w:rPr>
          <w:b/>
          <w:bCs/>
          <w:color w:val="000000"/>
          <w:lang w:eastAsia="en-AU"/>
        </w:rPr>
        <w:t>Please do not hesitate to contact us should you require any assistance with STP matter.</w:t>
      </w:r>
    </w:p>
    <w:p w14:paraId="373B2CD2" w14:textId="77777777" w:rsidR="00D02275" w:rsidRDefault="00D02275" w:rsidP="005D47EE">
      <w:pPr>
        <w:pStyle w:val="ListParagraph"/>
        <w:shd w:val="clear" w:color="auto" w:fill="FFFFFF"/>
        <w:spacing w:line="360" w:lineRule="atLeast"/>
        <w:ind w:left="3"/>
        <w:jc w:val="both"/>
        <w:rPr>
          <w:color w:val="000000"/>
          <w:lang w:eastAsia="en-AU"/>
        </w:rPr>
      </w:pPr>
    </w:p>
    <w:p w14:paraId="097FAAA1" w14:textId="74333CD1" w:rsidR="007F0540" w:rsidRDefault="007F0540" w:rsidP="005D47EE">
      <w:pPr>
        <w:pStyle w:val="ListParagraph"/>
        <w:shd w:val="clear" w:color="auto" w:fill="FFFFFF"/>
        <w:ind w:left="6"/>
        <w:jc w:val="both"/>
        <w:rPr>
          <w:color w:val="000000"/>
          <w:lang w:eastAsia="en-AU"/>
        </w:rPr>
      </w:pPr>
      <w:r>
        <w:rPr>
          <w:color w:val="000000"/>
          <w:lang w:eastAsia="en-AU"/>
        </w:rPr>
        <w:t>You can find important STP information from the ATO website following the below link</w:t>
      </w:r>
      <w:r w:rsidR="00D02275">
        <w:rPr>
          <w:color w:val="000000"/>
          <w:lang w:eastAsia="en-AU"/>
        </w:rPr>
        <w:t>.</w:t>
      </w:r>
    </w:p>
    <w:p w14:paraId="01C18C14" w14:textId="77777777" w:rsidR="007F0540" w:rsidRDefault="005D47EE" w:rsidP="005D47EE">
      <w:pPr>
        <w:pStyle w:val="ListParagraph"/>
        <w:shd w:val="clear" w:color="auto" w:fill="FFFFFF"/>
        <w:ind w:left="6"/>
        <w:jc w:val="both"/>
        <w:rPr>
          <w:color w:val="000000"/>
          <w:lang w:eastAsia="en-AU"/>
        </w:rPr>
      </w:pPr>
      <w:hyperlink r:id="rId8" w:history="1">
        <w:r w:rsidR="007F0540">
          <w:rPr>
            <w:rStyle w:val="Hyperlink"/>
            <w:lang w:eastAsia="en-AU"/>
          </w:rPr>
          <w:t>Single Touch Payroll employer reporting guidelines</w:t>
        </w:r>
      </w:hyperlink>
    </w:p>
    <w:p w14:paraId="79278778" w14:textId="77777777" w:rsidR="007F0540" w:rsidRDefault="007F0540" w:rsidP="005D47EE">
      <w:pPr>
        <w:shd w:val="clear" w:color="auto" w:fill="FFFFFF"/>
        <w:spacing w:after="360"/>
        <w:ind w:left="714"/>
        <w:contextualSpacing/>
        <w:jc w:val="both"/>
        <w:rPr>
          <w:color w:val="000000"/>
          <w:lang w:eastAsia="en-AU"/>
        </w:rPr>
      </w:pPr>
    </w:p>
    <w:p w14:paraId="298432D8" w14:textId="7D80B40B" w:rsidR="00E71B84" w:rsidRDefault="00E71B84" w:rsidP="005D47EE">
      <w:pPr>
        <w:jc w:val="both"/>
      </w:pPr>
    </w:p>
    <w:p w14:paraId="4D88039B" w14:textId="77777777" w:rsidR="00E71B84" w:rsidRDefault="00E71B84" w:rsidP="005D47EE">
      <w:pPr>
        <w:jc w:val="both"/>
      </w:pPr>
    </w:p>
    <w:sectPr w:rsidR="00E71B84" w:rsidSect="00BC7E2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55C48"/>
    <w:multiLevelType w:val="hybridMultilevel"/>
    <w:tmpl w:val="20A828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8456281"/>
    <w:multiLevelType w:val="multilevel"/>
    <w:tmpl w:val="8CA2A3FE"/>
    <w:lvl w:ilvl="0">
      <w:start w:val="1"/>
      <w:numFmt w:val="bullet"/>
      <w:lvlText w:val=""/>
      <w:lvlJc w:val="left"/>
      <w:pPr>
        <w:tabs>
          <w:tab w:val="num" w:pos="360"/>
        </w:tabs>
        <w:ind w:left="360" w:hanging="360"/>
      </w:pPr>
      <w:rPr>
        <w:rFonts w:ascii="Symbol" w:hAnsi="Symbol" w:hint="default"/>
        <w:sz w:val="20"/>
      </w:rPr>
    </w:lvl>
    <w:lvl w:ilvl="1">
      <w:start w:val="1"/>
      <w:numFmt w:val="bullet"/>
      <w:lvlText w:val=""/>
      <w:lvlJc w:val="left"/>
      <w:pPr>
        <w:tabs>
          <w:tab w:val="num" w:pos="1080"/>
        </w:tabs>
        <w:ind w:left="108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 w15:restartNumberingAfterBreak="0">
    <w:nsid w:val="1CA47646"/>
    <w:multiLevelType w:val="multilevel"/>
    <w:tmpl w:val="7F66CE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0854667"/>
    <w:multiLevelType w:val="hybridMultilevel"/>
    <w:tmpl w:val="66B46AA6"/>
    <w:lvl w:ilvl="0" w:tplc="0C09000D">
      <w:start w:val="1"/>
      <w:numFmt w:val="bullet"/>
      <w:lvlText w:val=""/>
      <w:lvlJc w:val="left"/>
      <w:pPr>
        <w:ind w:left="1080" w:hanging="360"/>
      </w:pPr>
      <w:rPr>
        <w:rFonts w:ascii="Wingdings" w:hAnsi="Wingdings" w:hint="default"/>
      </w:rPr>
    </w:lvl>
    <w:lvl w:ilvl="1" w:tplc="0C090003">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start w:val="1"/>
      <w:numFmt w:val="bullet"/>
      <w:lvlText w:val=""/>
      <w:lvlJc w:val="left"/>
      <w:pPr>
        <w:ind w:left="3240" w:hanging="360"/>
      </w:pPr>
      <w:rPr>
        <w:rFonts w:ascii="Symbol" w:hAnsi="Symbol" w:hint="default"/>
      </w:rPr>
    </w:lvl>
    <w:lvl w:ilvl="4" w:tplc="0C090003">
      <w:start w:val="1"/>
      <w:numFmt w:val="bullet"/>
      <w:lvlText w:val="o"/>
      <w:lvlJc w:val="left"/>
      <w:pPr>
        <w:ind w:left="3960" w:hanging="360"/>
      </w:pPr>
      <w:rPr>
        <w:rFonts w:ascii="Courier New" w:hAnsi="Courier New" w:cs="Courier New" w:hint="default"/>
      </w:rPr>
    </w:lvl>
    <w:lvl w:ilvl="5" w:tplc="0C090005">
      <w:start w:val="1"/>
      <w:numFmt w:val="bullet"/>
      <w:lvlText w:val=""/>
      <w:lvlJc w:val="left"/>
      <w:pPr>
        <w:ind w:left="4680" w:hanging="360"/>
      </w:pPr>
      <w:rPr>
        <w:rFonts w:ascii="Wingdings" w:hAnsi="Wingdings" w:hint="default"/>
      </w:rPr>
    </w:lvl>
    <w:lvl w:ilvl="6" w:tplc="0C090001">
      <w:start w:val="1"/>
      <w:numFmt w:val="bullet"/>
      <w:lvlText w:val=""/>
      <w:lvlJc w:val="left"/>
      <w:pPr>
        <w:ind w:left="5400" w:hanging="360"/>
      </w:pPr>
      <w:rPr>
        <w:rFonts w:ascii="Symbol" w:hAnsi="Symbol" w:hint="default"/>
      </w:rPr>
    </w:lvl>
    <w:lvl w:ilvl="7" w:tplc="0C090003">
      <w:start w:val="1"/>
      <w:numFmt w:val="bullet"/>
      <w:lvlText w:val="o"/>
      <w:lvlJc w:val="left"/>
      <w:pPr>
        <w:ind w:left="6120" w:hanging="360"/>
      </w:pPr>
      <w:rPr>
        <w:rFonts w:ascii="Courier New" w:hAnsi="Courier New" w:cs="Courier New" w:hint="default"/>
      </w:rPr>
    </w:lvl>
    <w:lvl w:ilvl="8" w:tplc="0C090005">
      <w:start w:val="1"/>
      <w:numFmt w:val="bullet"/>
      <w:lvlText w:val=""/>
      <w:lvlJc w:val="left"/>
      <w:pPr>
        <w:ind w:left="6840" w:hanging="360"/>
      </w:pPr>
      <w:rPr>
        <w:rFonts w:ascii="Wingdings" w:hAnsi="Wingdings" w:hint="default"/>
      </w:rPr>
    </w:lvl>
  </w:abstractNum>
  <w:abstractNum w:abstractNumId="4" w15:restartNumberingAfterBreak="0">
    <w:nsid w:val="60543C8B"/>
    <w:multiLevelType w:val="hybridMultilevel"/>
    <w:tmpl w:val="9EB6512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5" w15:restartNumberingAfterBreak="0">
    <w:nsid w:val="6C8B69F3"/>
    <w:multiLevelType w:val="multilevel"/>
    <w:tmpl w:val="BD40FB7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cs="Times New Roman"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6" w15:restartNumberingAfterBreak="0">
    <w:nsid w:val="786226E4"/>
    <w:multiLevelType w:val="multilevel"/>
    <w:tmpl w:val="4594BA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F303650"/>
    <w:multiLevelType w:val="multilevel"/>
    <w:tmpl w:val="966642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3"/>
  </w:num>
  <w:num w:numId="3">
    <w:abstractNumId w:val="5"/>
  </w:num>
  <w:num w:numId="4">
    <w:abstractNumId w:val="6"/>
  </w:num>
  <w:num w:numId="5">
    <w:abstractNumId w:val="2"/>
  </w:num>
  <w:num w:numId="6">
    <w:abstractNumId w:val="0"/>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0540"/>
    <w:rsid w:val="000B23C8"/>
    <w:rsid w:val="0010492D"/>
    <w:rsid w:val="00191DDA"/>
    <w:rsid w:val="0022333D"/>
    <w:rsid w:val="00452F13"/>
    <w:rsid w:val="00453CC7"/>
    <w:rsid w:val="004C3CFB"/>
    <w:rsid w:val="0051104E"/>
    <w:rsid w:val="005D47EE"/>
    <w:rsid w:val="005E22F9"/>
    <w:rsid w:val="006F01B7"/>
    <w:rsid w:val="00700CEB"/>
    <w:rsid w:val="007978C2"/>
    <w:rsid w:val="007A1075"/>
    <w:rsid w:val="007F0540"/>
    <w:rsid w:val="008A56D1"/>
    <w:rsid w:val="008E64C1"/>
    <w:rsid w:val="00AF34F0"/>
    <w:rsid w:val="00BC377E"/>
    <w:rsid w:val="00BC7E2B"/>
    <w:rsid w:val="00D02275"/>
    <w:rsid w:val="00E71B84"/>
    <w:rsid w:val="00F14320"/>
    <w:rsid w:val="00F8722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3cf,#ccecff,#cfc"/>
    </o:shapedefaults>
    <o:shapelayout v:ext="edit">
      <o:idmap v:ext="edit" data="1"/>
    </o:shapelayout>
  </w:shapeDefaults>
  <w:decimalSymbol w:val="."/>
  <w:listSeparator w:val=","/>
  <w14:docId w14:val="2EF034DE"/>
  <w15:chartTrackingRefBased/>
  <w15:docId w15:val="{0E907527-B5F7-4D54-8211-B5F7B3E20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F054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F0540"/>
    <w:rPr>
      <w:color w:val="0563C1"/>
      <w:u w:val="single"/>
    </w:rPr>
  </w:style>
  <w:style w:type="paragraph" w:styleId="ListParagraph">
    <w:name w:val="List Paragraph"/>
    <w:basedOn w:val="Normal"/>
    <w:uiPriority w:val="34"/>
    <w:qFormat/>
    <w:rsid w:val="007F0540"/>
    <w:pPr>
      <w:ind w:left="720"/>
    </w:pPr>
  </w:style>
  <w:style w:type="paragraph" w:styleId="NormalWeb">
    <w:name w:val="Normal (Web)"/>
    <w:basedOn w:val="Normal"/>
    <w:uiPriority w:val="99"/>
    <w:semiHidden/>
    <w:unhideWhenUsed/>
    <w:rsid w:val="007F0540"/>
    <w:pPr>
      <w:spacing w:before="100" w:beforeAutospacing="1" w:after="100" w:afterAutospacing="1"/>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9424386">
      <w:bodyDiv w:val="1"/>
      <w:marLeft w:val="0"/>
      <w:marRight w:val="0"/>
      <w:marTop w:val="0"/>
      <w:marBottom w:val="0"/>
      <w:divBdr>
        <w:top w:val="none" w:sz="0" w:space="0" w:color="auto"/>
        <w:left w:val="none" w:sz="0" w:space="0" w:color="auto"/>
        <w:bottom w:val="none" w:sz="0" w:space="0" w:color="auto"/>
        <w:right w:val="none" w:sz="0" w:space="0" w:color="auto"/>
      </w:divBdr>
    </w:div>
    <w:div w:id="923104848">
      <w:bodyDiv w:val="1"/>
      <w:marLeft w:val="0"/>
      <w:marRight w:val="0"/>
      <w:marTop w:val="0"/>
      <w:marBottom w:val="0"/>
      <w:divBdr>
        <w:top w:val="none" w:sz="0" w:space="0" w:color="auto"/>
        <w:left w:val="none" w:sz="0" w:space="0" w:color="auto"/>
        <w:bottom w:val="none" w:sz="0" w:space="0" w:color="auto"/>
        <w:right w:val="none" w:sz="0" w:space="0" w:color="auto"/>
      </w:divBdr>
    </w:div>
    <w:div w:id="1026951085">
      <w:bodyDiv w:val="1"/>
      <w:marLeft w:val="0"/>
      <w:marRight w:val="0"/>
      <w:marTop w:val="0"/>
      <w:marBottom w:val="0"/>
      <w:divBdr>
        <w:top w:val="none" w:sz="0" w:space="0" w:color="auto"/>
        <w:left w:val="none" w:sz="0" w:space="0" w:color="auto"/>
        <w:bottom w:val="none" w:sz="0" w:space="0" w:color="auto"/>
        <w:right w:val="none" w:sz="0" w:space="0" w:color="auto"/>
      </w:divBdr>
    </w:div>
    <w:div w:id="1894732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to.gov.au/Business/Single-Touch-Payroll/In-detail/Single-Touch-Payroll-employer-reporting-guidelines/" TargetMode="External"/><Relationship Id="rId3" Type="http://schemas.openxmlformats.org/officeDocument/2006/relationships/styles" Target="styles.xml"/><Relationship Id="rId7" Type="http://schemas.openxmlformats.org/officeDocument/2006/relationships/hyperlink" Target="https://softwaredevelopers.ato.gov.au/no-cost-and-low-cost-solutions-single-touch-payro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ustom 2">
      <a:dk1>
        <a:sysClr val="windowText" lastClr="000000"/>
      </a:dk1>
      <a:lt1>
        <a:sysClr val="window" lastClr="FFFFFF"/>
      </a:lt1>
      <a:dk2>
        <a:srgbClr val="44546A"/>
      </a:dk2>
      <a:lt2>
        <a:srgbClr val="E7E6E6"/>
      </a:lt2>
      <a:accent1>
        <a:srgbClr val="517CC9"/>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27EB61-749F-4573-BFE6-707D1E8EB4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508</Words>
  <Characters>2897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Tserekhava</dc:creator>
  <cp:keywords/>
  <dc:description/>
  <cp:lastModifiedBy>Alena Tserekhava</cp:lastModifiedBy>
  <cp:revision>3</cp:revision>
  <dcterms:created xsi:type="dcterms:W3CDTF">2021-03-25T06:30:00Z</dcterms:created>
  <dcterms:modified xsi:type="dcterms:W3CDTF">2021-03-25T06:32:00Z</dcterms:modified>
</cp:coreProperties>
</file>